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2E58" w14:textId="77777777" w:rsidR="009029C5" w:rsidRDefault="00B644B6" w:rsidP="009029C5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9029C5">
        <w:rPr>
          <w:rFonts w:ascii="Cambria" w:hAnsi="Cambria"/>
          <w:b/>
          <w:color w:val="000000" w:themeColor="text1"/>
          <w:sz w:val="28"/>
          <w:szCs w:val="28"/>
        </w:rPr>
        <w:t>Порядок проведения индивидуального отбора</w:t>
      </w:r>
      <w:r w:rsidR="009029C5" w:rsidRPr="009029C5">
        <w:rPr>
          <w:rFonts w:ascii="Cambria" w:hAnsi="Cambria"/>
          <w:b/>
          <w:color w:val="000000" w:themeColor="text1"/>
          <w:sz w:val="28"/>
          <w:szCs w:val="28"/>
        </w:rPr>
        <w:t xml:space="preserve"> для прохождения </w:t>
      </w:r>
    </w:p>
    <w:p w14:paraId="4E1CED19" w14:textId="010EB479" w:rsidR="00B644B6" w:rsidRPr="009029C5" w:rsidRDefault="009029C5" w:rsidP="009029C5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9029C5">
        <w:rPr>
          <w:rFonts w:ascii="Cambria" w:hAnsi="Cambria"/>
          <w:b/>
          <w:color w:val="000000" w:themeColor="text1"/>
          <w:sz w:val="28"/>
          <w:szCs w:val="28"/>
        </w:rPr>
        <w:t>спортивной подготовки</w:t>
      </w:r>
      <w:r w:rsidR="00B644B6" w:rsidRPr="009029C5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14:paraId="46C0C5ED" w14:textId="77777777" w:rsidR="00B644B6" w:rsidRPr="009029C5" w:rsidRDefault="00B644B6" w:rsidP="009029C5">
      <w:pPr>
        <w:shd w:val="clear" w:color="auto" w:fill="FFFFFF"/>
        <w:spacing w:after="0" w:line="315" w:lineRule="atLeast"/>
        <w:jc w:val="center"/>
        <w:textAlignment w:val="baseline"/>
        <w:rPr>
          <w:rFonts w:ascii="Cambria" w:eastAsia="Times New Roman" w:hAnsi="Cambria" w:cs="Arial"/>
          <w:b/>
          <w:color w:val="000000" w:themeColor="text1"/>
          <w:spacing w:val="2"/>
          <w:sz w:val="28"/>
          <w:szCs w:val="28"/>
          <w:lang w:eastAsia="ru-RU"/>
        </w:rPr>
      </w:pPr>
      <w:r w:rsidRPr="009029C5">
        <w:rPr>
          <w:rFonts w:ascii="Cambria" w:eastAsia="Times New Roman" w:hAnsi="Cambria" w:cs="Arial"/>
          <w:b/>
          <w:color w:val="000000" w:themeColor="text1"/>
          <w:spacing w:val="2"/>
          <w:sz w:val="28"/>
          <w:szCs w:val="28"/>
          <w:lang w:eastAsia="ru-RU"/>
        </w:rPr>
        <w:t xml:space="preserve">Муниципального автономного учреждения дополнительного образования детско-юношеской спортивной школы №2 </w:t>
      </w:r>
    </w:p>
    <w:p w14:paraId="6C75F9E0" w14:textId="77777777" w:rsidR="00B644B6" w:rsidRPr="009029C5" w:rsidRDefault="00B644B6" w:rsidP="009029C5">
      <w:pPr>
        <w:shd w:val="clear" w:color="auto" w:fill="FFFFFF"/>
        <w:spacing w:after="0" w:line="315" w:lineRule="atLeast"/>
        <w:jc w:val="center"/>
        <w:textAlignment w:val="baseline"/>
        <w:rPr>
          <w:rFonts w:ascii="Cambria" w:eastAsia="Times New Roman" w:hAnsi="Cambria" w:cs="Arial"/>
          <w:b/>
          <w:color w:val="000000" w:themeColor="text1"/>
          <w:spacing w:val="2"/>
          <w:sz w:val="28"/>
          <w:szCs w:val="28"/>
          <w:lang w:eastAsia="ru-RU"/>
        </w:rPr>
      </w:pPr>
      <w:r w:rsidRPr="009029C5">
        <w:rPr>
          <w:rFonts w:ascii="Cambria" w:eastAsia="Times New Roman" w:hAnsi="Cambria" w:cs="Arial"/>
          <w:b/>
          <w:color w:val="000000" w:themeColor="text1"/>
          <w:spacing w:val="2"/>
          <w:sz w:val="28"/>
          <w:szCs w:val="28"/>
          <w:lang w:eastAsia="ru-RU"/>
        </w:rPr>
        <w:t>Тюменского муниципального района</w:t>
      </w:r>
    </w:p>
    <w:p w14:paraId="690CBB59" w14:textId="77777777" w:rsidR="00B644B6" w:rsidRPr="009029C5" w:rsidRDefault="00B644B6" w:rsidP="00B644B6">
      <w:pPr>
        <w:shd w:val="clear" w:color="auto" w:fill="FFFFFF"/>
        <w:spacing w:after="0" w:line="315" w:lineRule="atLeast"/>
        <w:jc w:val="center"/>
        <w:textAlignment w:val="baseline"/>
        <w:rPr>
          <w:rFonts w:ascii="Cambria" w:eastAsia="Times New Roman" w:hAnsi="Cambria" w:cs="Arial"/>
          <w:b/>
          <w:color w:val="000000" w:themeColor="text1"/>
          <w:spacing w:val="2"/>
          <w:sz w:val="28"/>
          <w:szCs w:val="28"/>
          <w:lang w:eastAsia="ru-RU"/>
        </w:rPr>
      </w:pPr>
    </w:p>
    <w:p w14:paraId="287C23E5" w14:textId="6AA26BB5" w:rsidR="00B644B6" w:rsidRPr="009029C5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>1. Муниципальное автономное учреждение дополнительного образования детско-юношеская спортивная школы №2 Тюменского муниципального района является учреждением</w:t>
      </w:r>
      <w:r w:rsidR="00E8167B" w:rsidRPr="009029C5">
        <w:rPr>
          <w:rFonts w:ascii="Cambria" w:hAnsi="Cambria"/>
          <w:color w:val="000000" w:themeColor="text1"/>
          <w:sz w:val="28"/>
          <w:szCs w:val="28"/>
        </w:rPr>
        <w:t xml:space="preserve"> физкультурно-спортивной направленности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 и осуществляет спортивную подготовку лиц по олимпийским </w:t>
      </w:r>
      <w:r w:rsidR="00E8167B" w:rsidRPr="009029C5">
        <w:rPr>
          <w:rFonts w:ascii="Cambria" w:hAnsi="Cambria"/>
          <w:color w:val="000000" w:themeColor="text1"/>
          <w:sz w:val="28"/>
          <w:szCs w:val="28"/>
        </w:rPr>
        <w:t xml:space="preserve">и неолимпийским </w:t>
      </w:r>
      <w:r w:rsidRPr="009029C5">
        <w:rPr>
          <w:rFonts w:ascii="Cambria" w:hAnsi="Cambria"/>
          <w:color w:val="000000" w:themeColor="text1"/>
          <w:sz w:val="28"/>
          <w:szCs w:val="28"/>
        </w:rPr>
        <w:t>видам спорта</w:t>
      </w:r>
      <w:r w:rsidR="009029C5">
        <w:rPr>
          <w:rFonts w:ascii="Cambria" w:hAnsi="Cambria"/>
          <w:color w:val="000000" w:themeColor="text1"/>
          <w:sz w:val="28"/>
          <w:szCs w:val="28"/>
        </w:rPr>
        <w:t>.</w:t>
      </w:r>
    </w:p>
    <w:p w14:paraId="3D79C482" w14:textId="77777777" w:rsidR="00B644B6" w:rsidRPr="009029C5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 xml:space="preserve">2. Прием лиц, желающих проходить спортивную подготовку в </w:t>
      </w:r>
      <w:r w:rsidR="00E8167B" w:rsidRPr="009029C5">
        <w:rPr>
          <w:rFonts w:ascii="Cambria" w:hAnsi="Cambria"/>
          <w:color w:val="000000" w:themeColor="text1"/>
          <w:sz w:val="28"/>
          <w:szCs w:val="28"/>
        </w:rPr>
        <w:t xml:space="preserve">МАУ ДО ДЮСШ №2 ТМР (далее 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- поступающих), осуществляется в соответствие с </w:t>
      </w:r>
      <w:r w:rsidR="00E17894" w:rsidRPr="009029C5">
        <w:rPr>
          <w:rFonts w:ascii="Cambria" w:hAnsi="Cambria"/>
          <w:color w:val="000000" w:themeColor="text1"/>
          <w:sz w:val="28"/>
          <w:szCs w:val="28"/>
        </w:rPr>
        <w:t>Правилами организации спортивной подготовки, порядка приема, перевода, отчисления спортсменов в МАУ ДО ДЮСШ №2 ТМР.</w:t>
      </w:r>
    </w:p>
    <w:p w14:paraId="03749189" w14:textId="77777777" w:rsidR="00B644B6" w:rsidRPr="009029C5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>3. Настоящий Порядок проведения индивидуального отбо</w:t>
      </w:r>
      <w:r w:rsidR="00E8167B" w:rsidRPr="009029C5">
        <w:rPr>
          <w:rFonts w:ascii="Cambria" w:hAnsi="Cambria"/>
          <w:color w:val="000000" w:themeColor="text1"/>
          <w:sz w:val="28"/>
          <w:szCs w:val="28"/>
        </w:rPr>
        <w:t xml:space="preserve">ра в МАУ ДО ДЮСШ №2 ТМР (далее - </w:t>
      </w:r>
      <w:r w:rsidRPr="009029C5">
        <w:rPr>
          <w:rFonts w:ascii="Cambria" w:hAnsi="Cambria"/>
          <w:color w:val="000000" w:themeColor="text1"/>
          <w:sz w:val="28"/>
          <w:szCs w:val="28"/>
        </w:rPr>
        <w:t>Порядок) разработан в целях:</w:t>
      </w:r>
    </w:p>
    <w:p w14:paraId="29FFF43C" w14:textId="77777777" w:rsidR="00B644B6" w:rsidRPr="009029C5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>- непрерывного систематического поиска и подбора состав</w:t>
      </w:r>
      <w:r w:rsidR="00E8167B" w:rsidRPr="009029C5">
        <w:rPr>
          <w:rFonts w:ascii="Cambria" w:hAnsi="Cambria"/>
          <w:color w:val="000000" w:themeColor="text1"/>
          <w:sz w:val="28"/>
          <w:szCs w:val="28"/>
        </w:rPr>
        <w:t xml:space="preserve">а перспективных спортсменов для </w:t>
      </w:r>
      <w:r w:rsidRPr="009029C5">
        <w:rPr>
          <w:rFonts w:ascii="Cambria" w:hAnsi="Cambria"/>
          <w:color w:val="000000" w:themeColor="text1"/>
          <w:sz w:val="28"/>
          <w:szCs w:val="28"/>
        </w:rPr>
        <w:t>достижения высоких спортивн</w:t>
      </w:r>
      <w:r w:rsidR="00E8167B" w:rsidRPr="009029C5">
        <w:rPr>
          <w:rFonts w:ascii="Cambria" w:hAnsi="Cambria"/>
          <w:color w:val="000000" w:themeColor="text1"/>
          <w:sz w:val="28"/>
          <w:szCs w:val="28"/>
        </w:rPr>
        <w:t xml:space="preserve">ых результатов, а также 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своевременного комплектования групп </w:t>
      </w:r>
      <w:r w:rsidR="00E8167B" w:rsidRPr="009029C5">
        <w:rPr>
          <w:rFonts w:ascii="Cambria" w:hAnsi="Cambria"/>
          <w:color w:val="000000" w:themeColor="text1"/>
          <w:sz w:val="28"/>
          <w:szCs w:val="28"/>
        </w:rPr>
        <w:t xml:space="preserve">МАУ ДО ДЮСШ №2 ТМР, в случае </w:t>
      </w:r>
      <w:r w:rsidRPr="009029C5">
        <w:rPr>
          <w:rFonts w:ascii="Cambria" w:hAnsi="Cambria"/>
          <w:color w:val="000000" w:themeColor="text1"/>
          <w:sz w:val="28"/>
          <w:szCs w:val="28"/>
        </w:rPr>
        <w:t>изменения численного состава;</w:t>
      </w:r>
    </w:p>
    <w:p w14:paraId="5B4975DD" w14:textId="77777777" w:rsidR="00B644B6" w:rsidRPr="009029C5" w:rsidRDefault="00E8167B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 xml:space="preserve">-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обеспечения соблюдения прав поступающи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х, прав законных представителей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несовершеннолетних поступающих, установленных законодате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льством Российской Федерации на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основе принципов гласности, открытости и объективности оценки способностей поступающих.</w:t>
      </w:r>
    </w:p>
    <w:p w14:paraId="2C3B97D9" w14:textId="4A4413AA" w:rsidR="00B644B6" w:rsidRPr="009029C5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 xml:space="preserve">4. Индивидуальный отбор </w:t>
      </w:r>
      <w:r w:rsidR="009029C5" w:rsidRPr="009029C5">
        <w:rPr>
          <w:rFonts w:ascii="Cambria" w:hAnsi="Cambria"/>
          <w:color w:val="000000" w:themeColor="text1"/>
          <w:sz w:val="28"/>
          <w:szCs w:val="28"/>
        </w:rPr>
        <w:t>— это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 оценка общей физическо</w:t>
      </w:r>
      <w:r w:rsidR="00E8167B" w:rsidRPr="009029C5">
        <w:rPr>
          <w:rFonts w:ascii="Cambria" w:hAnsi="Cambria"/>
          <w:color w:val="000000" w:themeColor="text1"/>
          <w:sz w:val="28"/>
          <w:szCs w:val="28"/>
        </w:rPr>
        <w:t xml:space="preserve">й подготовленности, специальной </w:t>
      </w:r>
      <w:r w:rsidRPr="009029C5">
        <w:rPr>
          <w:rFonts w:ascii="Cambria" w:hAnsi="Cambria"/>
          <w:color w:val="000000" w:themeColor="text1"/>
          <w:sz w:val="28"/>
          <w:szCs w:val="28"/>
        </w:rPr>
        <w:t>физической подготовленности, психологических ос</w:t>
      </w:r>
      <w:r w:rsidR="00E8167B" w:rsidRPr="009029C5">
        <w:rPr>
          <w:rFonts w:ascii="Cambria" w:hAnsi="Cambria"/>
          <w:color w:val="000000" w:themeColor="text1"/>
          <w:sz w:val="28"/>
          <w:szCs w:val="28"/>
        </w:rPr>
        <w:t xml:space="preserve">обенностей, двигательных умений </w:t>
      </w:r>
      <w:r w:rsidRPr="009029C5">
        <w:rPr>
          <w:rFonts w:ascii="Cambria" w:hAnsi="Cambria"/>
          <w:color w:val="000000" w:themeColor="text1"/>
          <w:sz w:val="28"/>
          <w:szCs w:val="28"/>
        </w:rPr>
        <w:t>поступающего лица, необходимых для освоения программы спортивной подготовки</w:t>
      </w:r>
      <w:r w:rsidR="00E17894" w:rsidRPr="009029C5">
        <w:rPr>
          <w:rFonts w:ascii="Cambria" w:hAnsi="Cambria"/>
          <w:color w:val="000000" w:themeColor="text1"/>
          <w:sz w:val="28"/>
          <w:szCs w:val="28"/>
        </w:rPr>
        <w:t xml:space="preserve"> по виду спорта</w:t>
      </w:r>
      <w:r w:rsidRPr="009029C5">
        <w:rPr>
          <w:rFonts w:ascii="Cambria" w:hAnsi="Cambria"/>
          <w:color w:val="000000" w:themeColor="text1"/>
          <w:sz w:val="28"/>
          <w:szCs w:val="28"/>
        </w:rPr>
        <w:t>.</w:t>
      </w:r>
    </w:p>
    <w:p w14:paraId="053D1D47" w14:textId="77777777" w:rsidR="00B644B6" w:rsidRPr="009029C5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 xml:space="preserve">5. Индивидуальный отбор в </w:t>
      </w:r>
      <w:r w:rsidR="00E8167B" w:rsidRPr="009029C5">
        <w:rPr>
          <w:rFonts w:ascii="Cambria" w:hAnsi="Cambria"/>
          <w:color w:val="000000" w:themeColor="text1"/>
          <w:sz w:val="28"/>
          <w:szCs w:val="28"/>
        </w:rPr>
        <w:t>МАУ ДО ДЮСШ №2 ТМР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 п</w:t>
      </w:r>
      <w:r w:rsidR="008F4616" w:rsidRPr="009029C5">
        <w:rPr>
          <w:rFonts w:ascii="Cambria" w:hAnsi="Cambria"/>
          <w:color w:val="000000" w:themeColor="text1"/>
          <w:sz w:val="28"/>
          <w:szCs w:val="28"/>
        </w:rPr>
        <w:t>роводится в форме</w:t>
      </w:r>
      <w:r w:rsidR="001541AA" w:rsidRPr="009029C5">
        <w:rPr>
          <w:rFonts w:ascii="Cambria" w:hAnsi="Cambria"/>
          <w:color w:val="000000" w:themeColor="text1"/>
          <w:sz w:val="28"/>
          <w:szCs w:val="28"/>
        </w:rPr>
        <w:t xml:space="preserve">, 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предварительных просмотров, анкетирования, </w:t>
      </w:r>
      <w:r w:rsidR="001541AA" w:rsidRPr="009029C5">
        <w:rPr>
          <w:rFonts w:ascii="Cambria" w:hAnsi="Cambria"/>
          <w:color w:val="000000" w:themeColor="text1"/>
          <w:sz w:val="28"/>
          <w:szCs w:val="28"/>
        </w:rPr>
        <w:t xml:space="preserve">тестирования по общей </w:t>
      </w:r>
      <w:r w:rsidRPr="009029C5">
        <w:rPr>
          <w:rFonts w:ascii="Cambria" w:hAnsi="Cambria"/>
          <w:color w:val="000000" w:themeColor="text1"/>
          <w:sz w:val="28"/>
          <w:szCs w:val="28"/>
        </w:rPr>
        <w:t>физической и специальной физической</w:t>
      </w:r>
      <w:r w:rsidR="001541AA" w:rsidRPr="009029C5">
        <w:rPr>
          <w:rFonts w:ascii="Cambria" w:hAnsi="Cambria"/>
          <w:color w:val="000000" w:themeColor="text1"/>
          <w:sz w:val="28"/>
          <w:szCs w:val="28"/>
        </w:rPr>
        <w:t xml:space="preserve"> подготовке для зачисления лиц, 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желающих проходить спортивную подготовку в </w:t>
      </w:r>
      <w:r w:rsidR="008F4616" w:rsidRPr="009029C5">
        <w:rPr>
          <w:rFonts w:ascii="Cambria" w:hAnsi="Cambria"/>
          <w:color w:val="000000" w:themeColor="text1"/>
          <w:sz w:val="28"/>
          <w:szCs w:val="28"/>
        </w:rPr>
        <w:t>МАУ ДО ДЮСШ №2 ТМР</w:t>
      </w:r>
      <w:r w:rsidRPr="009029C5">
        <w:rPr>
          <w:rFonts w:ascii="Cambria" w:hAnsi="Cambria"/>
          <w:color w:val="000000" w:themeColor="text1"/>
          <w:sz w:val="28"/>
          <w:szCs w:val="28"/>
        </w:rPr>
        <w:t>.</w:t>
      </w:r>
    </w:p>
    <w:p w14:paraId="1498DE2C" w14:textId="77777777" w:rsidR="00B644B6" w:rsidRPr="009029C5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>6. Настоящий Порядок регламентирует проведение индивидуального отбора:</w:t>
      </w:r>
    </w:p>
    <w:p w14:paraId="7A89F12E" w14:textId="7C07AB7F" w:rsidR="009029C5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 xml:space="preserve">6.1. При приеме физических лиц в </w:t>
      </w:r>
      <w:r w:rsidR="001541AA" w:rsidRPr="009029C5">
        <w:rPr>
          <w:rFonts w:ascii="Cambria" w:hAnsi="Cambria"/>
          <w:color w:val="000000" w:themeColor="text1"/>
          <w:sz w:val="28"/>
          <w:szCs w:val="28"/>
        </w:rPr>
        <w:t xml:space="preserve">МАУ ДО ДЮСШ №2 ТМР для прохождения спортивной </w:t>
      </w:r>
      <w:r w:rsidRPr="009029C5">
        <w:rPr>
          <w:rFonts w:ascii="Cambria" w:hAnsi="Cambria"/>
          <w:color w:val="000000" w:themeColor="text1"/>
          <w:sz w:val="28"/>
          <w:szCs w:val="28"/>
        </w:rPr>
        <w:t>подготовки по избранным видам спорта на следующие этапы спортивной подготовки:</w:t>
      </w:r>
    </w:p>
    <w:p w14:paraId="7C36FF1C" w14:textId="5473A5E8" w:rsidR="001541AA" w:rsidRPr="009029C5" w:rsidRDefault="009029C5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а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) этап начальной подготовки (периоды подготовки до одного</w:t>
      </w:r>
      <w:r w:rsidR="001541AA" w:rsidRPr="009029C5">
        <w:rPr>
          <w:rFonts w:ascii="Cambria" w:hAnsi="Cambria"/>
          <w:color w:val="000000" w:themeColor="text1"/>
          <w:sz w:val="28"/>
          <w:szCs w:val="28"/>
        </w:rPr>
        <w:t xml:space="preserve"> года и свыше одного года)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(далее - НП);</w:t>
      </w:r>
    </w:p>
    <w:p w14:paraId="3C4CEF81" w14:textId="599FF0B7" w:rsidR="00B644B6" w:rsidRPr="009029C5" w:rsidRDefault="009029C5" w:rsidP="009029C5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б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) тренировочный этап (этап спортивной специализации) (периоды подготовки до двух лет и</w:t>
      </w:r>
      <w:r w:rsidR="001541AA" w:rsidRPr="009029C5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свыше двух лет) (далее - ТСС);</w:t>
      </w:r>
    </w:p>
    <w:p w14:paraId="3178F438" w14:textId="77777777" w:rsidR="00B644B6" w:rsidRPr="009029C5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lastRenderedPageBreak/>
        <w:t xml:space="preserve">7. Прием физических лиц в </w:t>
      </w:r>
      <w:r w:rsidR="00C30176" w:rsidRPr="009029C5">
        <w:rPr>
          <w:rFonts w:ascii="Cambria" w:hAnsi="Cambria"/>
          <w:color w:val="000000" w:themeColor="text1"/>
          <w:sz w:val="28"/>
          <w:szCs w:val="28"/>
        </w:rPr>
        <w:t xml:space="preserve">МАУ ДО ДЮСШ №2 ТМР </w:t>
      </w:r>
      <w:r w:rsidRPr="009029C5">
        <w:rPr>
          <w:rFonts w:ascii="Cambria" w:hAnsi="Cambria"/>
          <w:color w:val="000000" w:themeColor="text1"/>
          <w:sz w:val="28"/>
          <w:szCs w:val="28"/>
        </w:rPr>
        <w:t>для пр</w:t>
      </w:r>
      <w:r w:rsidR="00C30176" w:rsidRPr="009029C5">
        <w:rPr>
          <w:rFonts w:ascii="Cambria" w:hAnsi="Cambria"/>
          <w:color w:val="000000" w:themeColor="text1"/>
          <w:sz w:val="28"/>
          <w:szCs w:val="28"/>
        </w:rPr>
        <w:t xml:space="preserve">охождения спортивной подготовки </w:t>
      </w:r>
      <w:r w:rsidRPr="009029C5">
        <w:rPr>
          <w:rFonts w:ascii="Cambria" w:hAnsi="Cambria"/>
          <w:color w:val="000000" w:themeColor="text1"/>
          <w:sz w:val="28"/>
          <w:szCs w:val="28"/>
        </w:rPr>
        <w:t>и индивидуальный отбор осуществляются в течение календарного года.</w:t>
      </w:r>
    </w:p>
    <w:p w14:paraId="4999710E" w14:textId="733916D9" w:rsidR="009174AF" w:rsidRPr="009029C5" w:rsidRDefault="009029C5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8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. </w:t>
      </w:r>
      <w:r w:rsidR="009174AF" w:rsidRPr="009029C5">
        <w:rPr>
          <w:rFonts w:ascii="Cambria" w:hAnsi="Cambria"/>
          <w:color w:val="000000" w:themeColor="text1"/>
          <w:sz w:val="28"/>
          <w:szCs w:val="28"/>
        </w:rPr>
        <w:t>В целях максимального информирования поступающих и законных представителей несовершеннолетних поступающих МАУ ДО ДЮСШ №2 ТМР размещает документы и информацию:</w:t>
      </w:r>
    </w:p>
    <w:p w14:paraId="1E9309F8" w14:textId="77777777" w:rsidR="009174AF" w:rsidRPr="009029C5" w:rsidRDefault="009174AF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>- на информационном стенде;</w:t>
      </w:r>
    </w:p>
    <w:p w14:paraId="09F22772" w14:textId="77777777" w:rsidR="009174AF" w:rsidRPr="009029C5" w:rsidRDefault="009174AF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>- в информационно-телекоммуникационной сети «Интернет» (на официальном сайте МАУ ДО ДЮСШ №2 ТМР http://</w:t>
      </w:r>
      <w:r w:rsidRPr="009029C5">
        <w:rPr>
          <w:rFonts w:ascii="Cambria" w:hAnsi="Cambria"/>
          <w:color w:val="000000" w:themeColor="text1"/>
          <w:sz w:val="28"/>
          <w:szCs w:val="28"/>
          <w:lang w:val="en-US"/>
        </w:rPr>
        <w:t>dussh</w:t>
      </w:r>
      <w:r w:rsidRPr="009029C5">
        <w:rPr>
          <w:rFonts w:ascii="Cambria" w:hAnsi="Cambria"/>
          <w:color w:val="000000" w:themeColor="text1"/>
          <w:sz w:val="28"/>
          <w:szCs w:val="28"/>
        </w:rPr>
        <w:t>2</w:t>
      </w:r>
      <w:r w:rsidRPr="009029C5">
        <w:rPr>
          <w:rFonts w:ascii="Cambria" w:hAnsi="Cambria"/>
          <w:color w:val="000000" w:themeColor="text1"/>
          <w:sz w:val="28"/>
          <w:szCs w:val="28"/>
          <w:lang w:val="en-US"/>
        </w:rPr>
        <w:t>tmr</w:t>
      </w:r>
      <w:r w:rsidRPr="009029C5">
        <w:rPr>
          <w:rFonts w:ascii="Cambria" w:hAnsi="Cambria"/>
          <w:color w:val="000000" w:themeColor="text1"/>
          <w:sz w:val="28"/>
          <w:szCs w:val="28"/>
        </w:rPr>
        <w:t>.</w:t>
      </w:r>
      <w:r w:rsidRPr="009029C5">
        <w:rPr>
          <w:rFonts w:ascii="Cambria" w:hAnsi="Cambria"/>
          <w:color w:val="000000" w:themeColor="text1"/>
          <w:sz w:val="28"/>
          <w:szCs w:val="28"/>
          <w:lang w:val="en-US"/>
        </w:rPr>
        <w:t>ru</w:t>
      </w:r>
      <w:r w:rsidRPr="009029C5">
        <w:rPr>
          <w:rFonts w:ascii="Cambria" w:hAnsi="Cambria"/>
          <w:color w:val="000000" w:themeColor="text1"/>
          <w:sz w:val="28"/>
          <w:szCs w:val="28"/>
        </w:rPr>
        <w:t>/) в специальном разделе «Порядок приема и зачисления в спортивную школу».</w:t>
      </w:r>
    </w:p>
    <w:p w14:paraId="29DFE44E" w14:textId="338CD4DA" w:rsidR="00B644B6" w:rsidRPr="009029C5" w:rsidRDefault="007F41BE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9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. </w:t>
      </w:r>
      <w:r w:rsidR="009174AF" w:rsidRPr="009029C5">
        <w:rPr>
          <w:rFonts w:ascii="Cambria" w:hAnsi="Cambria"/>
          <w:color w:val="000000" w:themeColor="text1"/>
          <w:sz w:val="28"/>
          <w:szCs w:val="28"/>
        </w:rPr>
        <w:t>Перечень документов и требуемой информации установлены Порядком приема лиц в МАУ ДО ДЮСШ №2 ТМР.</w:t>
      </w:r>
    </w:p>
    <w:p w14:paraId="0D465E67" w14:textId="5716365A" w:rsidR="00B644B6" w:rsidRPr="009029C5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>1</w:t>
      </w:r>
      <w:r w:rsidR="007F41BE">
        <w:rPr>
          <w:rFonts w:ascii="Cambria" w:hAnsi="Cambria"/>
          <w:color w:val="000000" w:themeColor="text1"/>
          <w:sz w:val="28"/>
          <w:szCs w:val="28"/>
        </w:rPr>
        <w:t>0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. </w:t>
      </w:r>
      <w:r w:rsidR="009174AF" w:rsidRPr="009029C5">
        <w:rPr>
          <w:rFonts w:ascii="Cambria" w:hAnsi="Cambria"/>
          <w:color w:val="000000" w:themeColor="text1"/>
          <w:sz w:val="28"/>
          <w:szCs w:val="28"/>
        </w:rPr>
        <w:t xml:space="preserve">Прием письменных заявлений совершеннолетнего поступающего или законного представителя несовершеннолетнего поступающего ведется в течение </w:t>
      </w:r>
      <w:r w:rsidR="009174AF" w:rsidRPr="007F41BE">
        <w:rPr>
          <w:rFonts w:ascii="Cambria" w:hAnsi="Cambria"/>
          <w:color w:val="000000" w:themeColor="text1"/>
          <w:sz w:val="28"/>
          <w:szCs w:val="28"/>
        </w:rPr>
        <w:t>30 дней</w:t>
      </w:r>
      <w:r w:rsidR="009174AF" w:rsidRPr="009029C5">
        <w:rPr>
          <w:rFonts w:ascii="Cambria" w:hAnsi="Cambria"/>
          <w:color w:val="000000" w:themeColor="text1"/>
          <w:sz w:val="28"/>
          <w:szCs w:val="28"/>
        </w:rPr>
        <w:t xml:space="preserve"> со дня официального объявления о проведении индивидуального отбора и осуществляется секретарем приемной комиссии в соответствии с графиком работы МАУ ДО ДЮСШ №2 ТМР посредством личного обращения в приемную комиссию.</w:t>
      </w:r>
    </w:p>
    <w:p w14:paraId="5FA055A1" w14:textId="6C26E48D" w:rsidR="00B644B6" w:rsidRPr="009029C5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>1</w:t>
      </w:r>
      <w:r w:rsidR="007F41BE">
        <w:rPr>
          <w:rFonts w:ascii="Cambria" w:hAnsi="Cambria"/>
          <w:color w:val="000000" w:themeColor="text1"/>
          <w:sz w:val="28"/>
          <w:szCs w:val="28"/>
        </w:rPr>
        <w:t>1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. </w:t>
      </w:r>
      <w:r w:rsidR="009174AF" w:rsidRPr="009029C5">
        <w:rPr>
          <w:rFonts w:ascii="Cambria" w:hAnsi="Cambria"/>
          <w:color w:val="000000" w:themeColor="text1"/>
          <w:sz w:val="28"/>
          <w:szCs w:val="28"/>
        </w:rPr>
        <w:t xml:space="preserve">Индивидуальный отбор лиц, желающих проходить спортивную подготовку в </w:t>
      </w:r>
      <w:r w:rsidR="000B6D28" w:rsidRPr="009029C5">
        <w:rPr>
          <w:rFonts w:ascii="Cambria" w:hAnsi="Cambria"/>
          <w:color w:val="000000" w:themeColor="text1"/>
          <w:sz w:val="28"/>
          <w:szCs w:val="28"/>
        </w:rPr>
        <w:t>МАУ ДО ДЮСШ №2 ТМР</w:t>
      </w:r>
      <w:r w:rsidR="009174AF" w:rsidRPr="009029C5">
        <w:rPr>
          <w:rFonts w:ascii="Cambria" w:hAnsi="Cambria"/>
          <w:color w:val="000000" w:themeColor="text1"/>
          <w:sz w:val="28"/>
          <w:szCs w:val="28"/>
        </w:rPr>
        <w:t xml:space="preserve">, осуществляется приемной комиссией </w:t>
      </w:r>
      <w:r w:rsidR="000B6D28" w:rsidRPr="009029C5">
        <w:rPr>
          <w:rFonts w:ascii="Cambria" w:hAnsi="Cambria"/>
          <w:color w:val="000000" w:themeColor="text1"/>
          <w:sz w:val="28"/>
          <w:szCs w:val="28"/>
        </w:rPr>
        <w:t>МАУ ДО ДЮСШ №2 ТМР</w:t>
      </w:r>
      <w:r w:rsidR="009174AF" w:rsidRPr="009029C5">
        <w:rPr>
          <w:rFonts w:ascii="Cambria" w:hAnsi="Cambria"/>
          <w:color w:val="000000" w:themeColor="text1"/>
          <w:sz w:val="28"/>
          <w:szCs w:val="28"/>
        </w:rPr>
        <w:t xml:space="preserve"> не позднее, чем через 14 дней с момента окончания приема заявлений.</w:t>
      </w:r>
    </w:p>
    <w:p w14:paraId="2501F4E1" w14:textId="43ADCF46" w:rsidR="000B6D28" w:rsidRPr="009029C5" w:rsidRDefault="000B6D28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>1</w:t>
      </w:r>
      <w:r w:rsidR="007F41BE">
        <w:rPr>
          <w:rFonts w:ascii="Cambria" w:hAnsi="Cambria"/>
          <w:color w:val="000000" w:themeColor="text1"/>
          <w:sz w:val="28"/>
          <w:szCs w:val="28"/>
        </w:rPr>
        <w:t>2</w:t>
      </w:r>
      <w:r w:rsidRPr="009029C5">
        <w:rPr>
          <w:rFonts w:ascii="Cambria" w:hAnsi="Cambria"/>
          <w:color w:val="000000" w:themeColor="text1"/>
          <w:sz w:val="28"/>
          <w:szCs w:val="28"/>
        </w:rPr>
        <w:t>. Результаты индивидуального отбора объявляются не позднее, чем через три рабочих дня после его проведения.</w:t>
      </w:r>
    </w:p>
    <w:p w14:paraId="571C2B16" w14:textId="500867C3" w:rsidR="008A098D" w:rsidRPr="009029C5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>1</w:t>
      </w:r>
      <w:r w:rsidR="007F41BE">
        <w:rPr>
          <w:rFonts w:ascii="Cambria" w:hAnsi="Cambria"/>
          <w:color w:val="000000" w:themeColor="text1"/>
          <w:sz w:val="28"/>
          <w:szCs w:val="28"/>
        </w:rPr>
        <w:t>3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. 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>Требования, предъявляемые к минимальному (максимальному) возрасту поступающих лиц:</w:t>
      </w:r>
    </w:p>
    <w:p w14:paraId="6EADD28A" w14:textId="4B6714C3" w:rsidR="00B644B6" w:rsidRPr="009029C5" w:rsidRDefault="008A098D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>1</w:t>
      </w:r>
      <w:r w:rsidR="00C22745">
        <w:rPr>
          <w:rFonts w:ascii="Cambria" w:hAnsi="Cambria"/>
          <w:color w:val="000000" w:themeColor="text1"/>
          <w:sz w:val="28"/>
          <w:szCs w:val="28"/>
        </w:rPr>
        <w:t>3</w:t>
      </w:r>
      <w:r w:rsidRPr="009029C5">
        <w:rPr>
          <w:rFonts w:ascii="Cambria" w:hAnsi="Cambria"/>
          <w:color w:val="000000" w:themeColor="text1"/>
          <w:sz w:val="28"/>
          <w:szCs w:val="28"/>
        </w:rPr>
        <w:t>.1. Минимальный возраст лиц, поступающих на этап спортивной подготовки, определяется в соответствие с федеральными стандартами спортивной подготовки и программами спортивной подготовки по видам спорта, разработанных и реализуемых МАУ ДО ДЮСШ №2 ТМР</w:t>
      </w:r>
    </w:p>
    <w:p w14:paraId="1D72F963" w14:textId="7194A577" w:rsidR="00B644B6" w:rsidRPr="009029C5" w:rsidRDefault="00C22745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13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.2. Максимальный возраст лиц, занимающихся по программам спортивной подготовки, не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ограничивается.</w:t>
      </w:r>
    </w:p>
    <w:p w14:paraId="5ED60B2D" w14:textId="103E9905" w:rsidR="00B644B6" w:rsidRPr="009029C5" w:rsidRDefault="00C22745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14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. Оценка уровня подготовленности поступающих лиц 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на их соответствие требованиям,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предъявляемым к уровню общей физической (далее 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- ОФП) и специальной физической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подготовки (далее - СФП) поступающих лиц, проводится по результатам сдачи норма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тивов ОФП и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СФП</w:t>
      </w:r>
    </w:p>
    <w:p w14:paraId="5477B0BC" w14:textId="10E80BBA" w:rsidR="00B644B6" w:rsidRPr="009029C5" w:rsidRDefault="00C22745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14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.1. Для лиц, поступающих на этап начальной подготов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ки (период подготовки до одного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года) к стажу тренировочных занятий требования не предъявл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яются. Уровень ОФП и СФП должен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соответствовать требованиям, предъявляемым к уровню ОФП и СФП лиц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, поступающих на этап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начальной подготовки (период подготовки до одного года и свы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ше одного года) по видам спорта: </w:t>
      </w:r>
      <w:r w:rsidR="008A098D" w:rsidRPr="009029C5">
        <w:rPr>
          <w:rFonts w:ascii="Cambria" w:eastAsia="Times New Roman" w:hAnsi="Cambria" w:cs="Arial"/>
          <w:color w:val="000000" w:themeColor="text1"/>
          <w:spacing w:val="2"/>
          <w:sz w:val="28"/>
          <w:szCs w:val="28"/>
          <w:lang w:eastAsia="ru-RU"/>
        </w:rPr>
        <w:t>армспорт, баскетбол, велоспорт, волейбол, гиревой спорт, спортивная борьба, футбол, хоккей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B644B6" w:rsidRPr="007F41BE">
        <w:rPr>
          <w:rFonts w:ascii="Cambria" w:hAnsi="Cambria"/>
          <w:color w:val="000000" w:themeColor="text1"/>
          <w:sz w:val="28"/>
          <w:szCs w:val="28"/>
        </w:rPr>
        <w:t>(Приложение № 1 к настоящему Порядку).</w:t>
      </w:r>
    </w:p>
    <w:p w14:paraId="0EC41203" w14:textId="4A8EA0CA" w:rsidR="00B644B6" w:rsidRPr="009029C5" w:rsidRDefault="00C22745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lastRenderedPageBreak/>
        <w:t>14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.2. Для лиц, поступающих на этап начальной подг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отовки (период подготовки свыше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одного года) стаж тренировочных занятий должен быть не менее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 одного года на этапе начальной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подготовки по виду спорта. Уровень ОФП и СФП долж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ен соответствовать требованиям,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предъя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вляемым к уровню ОФП и СФП лиц,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поступающих на эт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ап начальной подготовки (период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подготовки до одного года и свыше одного года) по видам спорта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>: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8A098D" w:rsidRPr="009029C5">
        <w:rPr>
          <w:rFonts w:ascii="Cambria" w:eastAsia="Times New Roman" w:hAnsi="Cambria" w:cs="Arial"/>
          <w:color w:val="000000" w:themeColor="text1"/>
          <w:spacing w:val="2"/>
          <w:sz w:val="28"/>
          <w:szCs w:val="28"/>
          <w:lang w:eastAsia="ru-RU"/>
        </w:rPr>
        <w:t>армспорт, баскетбол, велоспорт, волейбол, гиревой спорт, спортивная борьба, футбол, хоккей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B644B6" w:rsidRPr="007F41BE">
        <w:rPr>
          <w:rFonts w:ascii="Cambria" w:hAnsi="Cambria"/>
          <w:color w:val="000000" w:themeColor="text1"/>
          <w:sz w:val="28"/>
          <w:szCs w:val="28"/>
        </w:rPr>
        <w:t>(Приложение № 1 к</w:t>
      </w:r>
      <w:r w:rsidR="008A098D" w:rsidRPr="007F41B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B644B6" w:rsidRPr="007F41BE">
        <w:rPr>
          <w:rFonts w:ascii="Cambria" w:hAnsi="Cambria"/>
          <w:color w:val="000000" w:themeColor="text1"/>
          <w:sz w:val="28"/>
          <w:szCs w:val="28"/>
        </w:rPr>
        <w:t>настоящему Порядку).</w:t>
      </w:r>
    </w:p>
    <w:p w14:paraId="12F3BE48" w14:textId="164D0131" w:rsidR="00B644B6" w:rsidRPr="009029C5" w:rsidRDefault="00C22745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14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.3. Для лиц, поступающих на тренировочный этап 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(этап спортивной специализации,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период подготовки до двух лет) стаж тренировочных занятий д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олжен быть не менее двух лет на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этапе начальной подготовки по виду спорта. Уровень ОФП и С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ФП должен соответствовать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требованиям, предъявляемым к уровню ОФП и СФП лиц, по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 xml:space="preserve">ступающих на тренировочный этап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(этап спортивной специализации) по видам спорта</w:t>
      </w:r>
      <w:r w:rsidR="008A098D" w:rsidRPr="009029C5">
        <w:rPr>
          <w:rFonts w:ascii="Cambria" w:hAnsi="Cambria"/>
          <w:color w:val="000000" w:themeColor="text1"/>
          <w:sz w:val="28"/>
          <w:szCs w:val="28"/>
        </w:rPr>
        <w:t>: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8A098D" w:rsidRPr="009029C5">
        <w:rPr>
          <w:rFonts w:ascii="Cambria" w:eastAsia="Times New Roman" w:hAnsi="Cambria" w:cs="Arial"/>
          <w:color w:val="000000" w:themeColor="text1"/>
          <w:spacing w:val="2"/>
          <w:sz w:val="28"/>
          <w:szCs w:val="28"/>
          <w:lang w:eastAsia="ru-RU"/>
        </w:rPr>
        <w:t>армспорт, баскетбол, велоспорт, волейбол, гиревой спорт, спортивная борьба, футбол, хоккей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B644B6" w:rsidRPr="007F41BE">
        <w:rPr>
          <w:rFonts w:ascii="Cambria" w:hAnsi="Cambria"/>
          <w:color w:val="000000" w:themeColor="text1"/>
          <w:sz w:val="28"/>
          <w:szCs w:val="28"/>
        </w:rPr>
        <w:t>(Приложение № 2 к</w:t>
      </w:r>
      <w:r w:rsidR="008A098D" w:rsidRPr="007F41B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B644B6" w:rsidRPr="007F41BE">
        <w:rPr>
          <w:rFonts w:ascii="Cambria" w:hAnsi="Cambria"/>
          <w:color w:val="000000" w:themeColor="text1"/>
          <w:sz w:val="28"/>
          <w:szCs w:val="28"/>
        </w:rPr>
        <w:t>настоящему Порядку).</w:t>
      </w:r>
    </w:p>
    <w:p w14:paraId="2BD784AF" w14:textId="60737F28" w:rsidR="00B644B6" w:rsidRPr="009029C5" w:rsidRDefault="00C22745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14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.4. Для лиц, поступающих на тренировочный этап </w:t>
      </w:r>
      <w:r w:rsidR="00EC1285" w:rsidRPr="009029C5">
        <w:rPr>
          <w:rFonts w:ascii="Cambria" w:hAnsi="Cambria"/>
          <w:color w:val="000000" w:themeColor="text1"/>
          <w:sz w:val="28"/>
          <w:szCs w:val="28"/>
        </w:rPr>
        <w:t xml:space="preserve">(этап спортивной специализации,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период подготовки свыше двух лет) стаж тренировочных заняти</w:t>
      </w:r>
      <w:r w:rsidR="00EC1285" w:rsidRPr="009029C5">
        <w:rPr>
          <w:rFonts w:ascii="Cambria" w:hAnsi="Cambria"/>
          <w:color w:val="000000" w:themeColor="text1"/>
          <w:sz w:val="28"/>
          <w:szCs w:val="28"/>
        </w:rPr>
        <w:t xml:space="preserve">й должен быть не менее двух лет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на тренировочном этапе (этап спортивной специализации, период </w:t>
      </w:r>
      <w:r w:rsidR="00EC1285" w:rsidRPr="009029C5">
        <w:rPr>
          <w:rFonts w:ascii="Cambria" w:hAnsi="Cambria"/>
          <w:color w:val="000000" w:themeColor="text1"/>
          <w:sz w:val="28"/>
          <w:szCs w:val="28"/>
        </w:rPr>
        <w:t xml:space="preserve">подготовки до двух лет) по виду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спорта. Уровень ОФП и СФП должен соответствовать треб</w:t>
      </w:r>
      <w:r w:rsidR="00EC1285" w:rsidRPr="009029C5">
        <w:rPr>
          <w:rFonts w:ascii="Cambria" w:hAnsi="Cambria"/>
          <w:color w:val="000000" w:themeColor="text1"/>
          <w:sz w:val="28"/>
          <w:szCs w:val="28"/>
        </w:rPr>
        <w:t xml:space="preserve">ованиям, предъявляемым к уровню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>ОФП и СФП лиц, поступающих на тренировочный этап (этап спортивной специализац</w:t>
      </w:r>
      <w:r w:rsidR="00EC1285" w:rsidRPr="009029C5">
        <w:rPr>
          <w:rFonts w:ascii="Cambria" w:hAnsi="Cambria"/>
          <w:color w:val="000000" w:themeColor="text1"/>
          <w:sz w:val="28"/>
          <w:szCs w:val="28"/>
        </w:rPr>
        <w:t xml:space="preserve">ии) по 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видам спорта </w:t>
      </w:r>
      <w:r w:rsidR="00EC1285" w:rsidRPr="009029C5">
        <w:rPr>
          <w:rFonts w:ascii="Cambria" w:eastAsia="Times New Roman" w:hAnsi="Cambria" w:cs="Arial"/>
          <w:color w:val="000000" w:themeColor="text1"/>
          <w:spacing w:val="2"/>
          <w:sz w:val="28"/>
          <w:szCs w:val="28"/>
          <w:lang w:eastAsia="ru-RU"/>
        </w:rPr>
        <w:t xml:space="preserve">армспорт, баскетбол, велоспорт, волейбол, гиревой спорт, спортивная борьба, футбол, </w:t>
      </w:r>
      <w:r w:rsidR="00EC1285" w:rsidRPr="007F41BE">
        <w:rPr>
          <w:rFonts w:ascii="Cambria" w:eastAsia="Times New Roman" w:hAnsi="Cambria" w:cs="Arial"/>
          <w:color w:val="000000" w:themeColor="text1"/>
          <w:spacing w:val="2"/>
          <w:sz w:val="28"/>
          <w:szCs w:val="28"/>
          <w:lang w:eastAsia="ru-RU"/>
        </w:rPr>
        <w:t>хоккей</w:t>
      </w:r>
      <w:r w:rsidR="00B644B6" w:rsidRPr="007F41BE">
        <w:rPr>
          <w:rFonts w:ascii="Cambria" w:hAnsi="Cambria"/>
          <w:color w:val="000000" w:themeColor="text1"/>
          <w:sz w:val="28"/>
          <w:szCs w:val="28"/>
        </w:rPr>
        <w:t xml:space="preserve"> (Приложение № 2 к настоящему Порядку).</w:t>
      </w:r>
    </w:p>
    <w:p w14:paraId="090F09C7" w14:textId="77777777" w:rsidR="00725CB7" w:rsidRDefault="00B644B6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029C5">
        <w:rPr>
          <w:rFonts w:ascii="Cambria" w:hAnsi="Cambria"/>
          <w:color w:val="000000" w:themeColor="text1"/>
          <w:sz w:val="28"/>
          <w:szCs w:val="28"/>
        </w:rPr>
        <w:t>1</w:t>
      </w:r>
      <w:r w:rsidR="00C22745">
        <w:rPr>
          <w:rFonts w:ascii="Cambria" w:hAnsi="Cambria"/>
          <w:color w:val="000000" w:themeColor="text1"/>
          <w:sz w:val="28"/>
          <w:szCs w:val="28"/>
        </w:rPr>
        <w:t>5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. Для зачисления на этапы спортивной подготовки </w:t>
      </w:r>
      <w:r w:rsidR="00E7061A" w:rsidRPr="009029C5">
        <w:rPr>
          <w:rFonts w:ascii="Cambria" w:hAnsi="Cambria"/>
          <w:color w:val="000000" w:themeColor="text1"/>
          <w:sz w:val="28"/>
          <w:szCs w:val="28"/>
        </w:rPr>
        <w:t xml:space="preserve">в </w:t>
      </w:r>
      <w:r w:rsidR="006D7296" w:rsidRPr="009029C5">
        <w:rPr>
          <w:rFonts w:ascii="Cambria" w:hAnsi="Cambria"/>
          <w:color w:val="000000" w:themeColor="text1"/>
          <w:sz w:val="28"/>
          <w:szCs w:val="28"/>
        </w:rPr>
        <w:t xml:space="preserve">МАУ ДО ДЮСШ №2 ТМР </w:t>
      </w:r>
      <w:r w:rsidR="00E7061A" w:rsidRPr="007F41BE">
        <w:rPr>
          <w:rFonts w:ascii="Cambria" w:hAnsi="Cambria"/>
          <w:color w:val="000000" w:themeColor="text1"/>
          <w:sz w:val="28"/>
          <w:szCs w:val="28"/>
        </w:rPr>
        <w:t xml:space="preserve">применяется </w:t>
      </w:r>
      <w:r w:rsidR="006D7296" w:rsidRPr="007F41BE">
        <w:rPr>
          <w:rFonts w:ascii="Cambria" w:hAnsi="Cambria"/>
          <w:color w:val="000000" w:themeColor="text1"/>
          <w:sz w:val="28"/>
          <w:szCs w:val="28"/>
        </w:rPr>
        <w:t>зачетная</w:t>
      </w:r>
      <w:r w:rsidRPr="009029C5">
        <w:rPr>
          <w:rFonts w:ascii="Cambria" w:hAnsi="Cambria"/>
          <w:color w:val="000000" w:themeColor="text1"/>
          <w:sz w:val="28"/>
          <w:szCs w:val="28"/>
        </w:rPr>
        <w:t xml:space="preserve"> система оценки</w:t>
      </w:r>
      <w:r w:rsidR="00725CB7">
        <w:rPr>
          <w:rFonts w:ascii="Cambria" w:hAnsi="Cambria"/>
          <w:color w:val="000000" w:themeColor="text1"/>
          <w:sz w:val="28"/>
          <w:szCs w:val="28"/>
        </w:rPr>
        <w:t xml:space="preserve">. </w:t>
      </w:r>
    </w:p>
    <w:p w14:paraId="54EBC09A" w14:textId="640853F2" w:rsidR="00B644B6" w:rsidRDefault="00725CB7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15.1. Для зачисления </w:t>
      </w:r>
      <w:r w:rsidRPr="009029C5">
        <w:rPr>
          <w:rFonts w:ascii="Cambria" w:hAnsi="Cambria"/>
          <w:color w:val="000000" w:themeColor="text1"/>
          <w:sz w:val="28"/>
          <w:szCs w:val="28"/>
        </w:rPr>
        <w:t>на этапы спортивной подготовки в МАУ ДО ДЮСШ №2 ТМР</w:t>
      </w:r>
      <w:r>
        <w:rPr>
          <w:rFonts w:ascii="Cambria" w:hAnsi="Cambria"/>
          <w:color w:val="000000" w:themeColor="text1"/>
          <w:sz w:val="28"/>
          <w:szCs w:val="28"/>
        </w:rPr>
        <w:t xml:space="preserve"> необходимо выполнить все требуемые нормативы, предъявляемые федеральными стандартами спортивной подготовки по видам спорта.</w:t>
      </w:r>
    </w:p>
    <w:p w14:paraId="79699F11" w14:textId="1DD9F95E" w:rsidR="00725CB7" w:rsidRPr="009029C5" w:rsidRDefault="00725CB7" w:rsidP="00E17894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15.2. Лицо, не выполнившее одно и более нормативов, предъявляемых</w:t>
      </w:r>
      <w:r>
        <w:rPr>
          <w:rFonts w:ascii="Cambria" w:hAnsi="Cambria"/>
          <w:color w:val="000000" w:themeColor="text1"/>
          <w:sz w:val="28"/>
          <w:szCs w:val="28"/>
        </w:rPr>
        <w:t xml:space="preserve"> федеральными стандартами спортивной подготовки по видам спорта</w:t>
      </w:r>
      <w:r>
        <w:rPr>
          <w:rFonts w:ascii="Cambria" w:hAnsi="Cambria"/>
          <w:color w:val="000000" w:themeColor="text1"/>
          <w:sz w:val="28"/>
          <w:szCs w:val="28"/>
        </w:rPr>
        <w:t>, зачислению на этапы спортивной подготовки не подлежит.</w:t>
      </w:r>
    </w:p>
    <w:p w14:paraId="043D9085" w14:textId="69BA6ED8" w:rsidR="00B644B6" w:rsidRPr="00521CD2" w:rsidRDefault="00C22745" w:rsidP="00521CD2">
      <w:pPr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16</w:t>
      </w:r>
      <w:r w:rsidR="00B644B6" w:rsidRPr="009029C5">
        <w:rPr>
          <w:rFonts w:ascii="Cambria" w:hAnsi="Cambria"/>
          <w:color w:val="000000" w:themeColor="text1"/>
          <w:sz w:val="28"/>
          <w:szCs w:val="28"/>
        </w:rPr>
        <w:t xml:space="preserve">. </w:t>
      </w:r>
      <w:r w:rsidR="00407EAD" w:rsidRPr="009029C5">
        <w:rPr>
          <w:rFonts w:ascii="Cambria" w:hAnsi="Cambria"/>
          <w:color w:val="000000" w:themeColor="text1"/>
          <w:sz w:val="28"/>
          <w:szCs w:val="28"/>
        </w:rPr>
        <w:t xml:space="preserve">Срок приема документов для поступления и график проведения индивидуального отбора </w:t>
      </w:r>
      <w:r w:rsidR="00BC4D3F" w:rsidRPr="009029C5">
        <w:rPr>
          <w:rFonts w:ascii="Cambria" w:hAnsi="Cambria"/>
          <w:color w:val="000000" w:themeColor="text1"/>
          <w:sz w:val="28"/>
          <w:szCs w:val="28"/>
        </w:rPr>
        <w:t xml:space="preserve">составляется ежегодно </w:t>
      </w:r>
      <w:r w:rsidR="00407EAD" w:rsidRPr="009029C5">
        <w:rPr>
          <w:rFonts w:ascii="Cambria" w:hAnsi="Cambria"/>
          <w:color w:val="000000" w:themeColor="text1"/>
          <w:sz w:val="28"/>
          <w:szCs w:val="28"/>
        </w:rPr>
        <w:t xml:space="preserve">в соответствие с </w:t>
      </w:r>
      <w:r w:rsidR="00BC4D3F" w:rsidRPr="009029C5">
        <w:rPr>
          <w:rFonts w:ascii="Cambria" w:hAnsi="Cambria"/>
          <w:color w:val="000000" w:themeColor="text1"/>
          <w:sz w:val="28"/>
          <w:szCs w:val="28"/>
        </w:rPr>
        <w:t>формой (</w:t>
      </w:r>
      <w:r w:rsidR="00407EAD" w:rsidRPr="009029C5">
        <w:rPr>
          <w:rFonts w:ascii="Cambria" w:hAnsi="Cambria"/>
          <w:color w:val="000000" w:themeColor="text1"/>
          <w:sz w:val="28"/>
          <w:szCs w:val="28"/>
        </w:rPr>
        <w:t>Приложением № 5</w:t>
      </w:r>
      <w:r w:rsidR="00BC4D3F" w:rsidRPr="009029C5">
        <w:rPr>
          <w:rFonts w:ascii="Cambria" w:hAnsi="Cambria"/>
          <w:color w:val="000000" w:themeColor="text1"/>
          <w:sz w:val="28"/>
          <w:szCs w:val="28"/>
        </w:rPr>
        <w:t>)</w:t>
      </w:r>
      <w:r w:rsidR="00407EAD" w:rsidRPr="009029C5">
        <w:rPr>
          <w:rFonts w:ascii="Cambria" w:hAnsi="Cambria"/>
          <w:color w:val="000000" w:themeColor="text1"/>
          <w:sz w:val="28"/>
          <w:szCs w:val="28"/>
        </w:rPr>
        <w:t xml:space="preserve"> к настоящему Порядку.</w:t>
      </w:r>
      <w:bookmarkStart w:id="0" w:name="_GoBack"/>
      <w:bookmarkEnd w:id="0"/>
    </w:p>
    <w:p w14:paraId="48DDE880" w14:textId="77777777" w:rsidR="0069141D" w:rsidRPr="009029C5" w:rsidRDefault="00BC4D3F" w:rsidP="00BC4D3F">
      <w:pPr>
        <w:jc w:val="right"/>
        <w:rPr>
          <w:b/>
          <w:color w:val="000000" w:themeColor="text1"/>
        </w:rPr>
      </w:pPr>
      <w:r w:rsidRPr="009029C5">
        <w:rPr>
          <w:b/>
          <w:color w:val="000000" w:themeColor="text1"/>
        </w:rPr>
        <w:t>Приложение 5</w:t>
      </w:r>
    </w:p>
    <w:p w14:paraId="042D5A75" w14:textId="77777777" w:rsidR="00BC4D3F" w:rsidRPr="009029C5" w:rsidRDefault="00B57A1A" w:rsidP="00B57A1A">
      <w:pPr>
        <w:jc w:val="center"/>
        <w:rPr>
          <w:b/>
          <w:color w:val="000000" w:themeColor="text1"/>
          <w:sz w:val="28"/>
          <w:szCs w:val="28"/>
        </w:rPr>
      </w:pPr>
      <w:r w:rsidRPr="009029C5">
        <w:rPr>
          <w:b/>
          <w:color w:val="000000" w:themeColor="text1"/>
          <w:sz w:val="28"/>
          <w:szCs w:val="28"/>
        </w:rPr>
        <w:t>График проведения индивидуального отбора для прохождения спортивной подготовки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4"/>
        <w:gridCol w:w="2124"/>
        <w:gridCol w:w="2125"/>
      </w:tblGrid>
      <w:tr w:rsidR="009029C5" w:rsidRPr="009029C5" w14:paraId="5EAAE598" w14:textId="77777777" w:rsidTr="00BC4D3F">
        <w:tc>
          <w:tcPr>
            <w:tcW w:w="1129" w:type="dxa"/>
          </w:tcPr>
          <w:p w14:paraId="5AF3F9D1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29C5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CC3B36C" w14:textId="6496667D" w:rsidR="00BC4D3F" w:rsidRPr="009029C5" w:rsidRDefault="007F41BE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</w:t>
            </w:r>
            <w:r w:rsidR="00BC4D3F" w:rsidRPr="009029C5">
              <w:rPr>
                <w:b/>
                <w:color w:val="000000" w:themeColor="text1"/>
                <w:sz w:val="24"/>
                <w:szCs w:val="24"/>
              </w:rPr>
              <w:t>ид норматива</w:t>
            </w:r>
          </w:p>
        </w:tc>
        <w:tc>
          <w:tcPr>
            <w:tcW w:w="2124" w:type="dxa"/>
          </w:tcPr>
          <w:p w14:paraId="5AC710AC" w14:textId="437BFB23" w:rsidR="00BC4D3F" w:rsidRPr="009029C5" w:rsidRDefault="007F41BE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</w:t>
            </w:r>
            <w:r w:rsidR="00BC4D3F" w:rsidRPr="009029C5">
              <w:rPr>
                <w:b/>
                <w:color w:val="000000" w:themeColor="text1"/>
                <w:sz w:val="24"/>
                <w:szCs w:val="24"/>
              </w:rPr>
              <w:t>ид спорта</w:t>
            </w:r>
          </w:p>
        </w:tc>
        <w:tc>
          <w:tcPr>
            <w:tcW w:w="2124" w:type="dxa"/>
          </w:tcPr>
          <w:p w14:paraId="21D7798B" w14:textId="5A5812FF" w:rsidR="00BC4D3F" w:rsidRPr="009029C5" w:rsidRDefault="007F41BE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 w:rsidR="00BC4D3F" w:rsidRPr="009029C5">
              <w:rPr>
                <w:b/>
                <w:color w:val="000000" w:themeColor="text1"/>
                <w:sz w:val="24"/>
                <w:szCs w:val="24"/>
              </w:rPr>
              <w:t>тветственный</w:t>
            </w:r>
          </w:p>
        </w:tc>
        <w:tc>
          <w:tcPr>
            <w:tcW w:w="2125" w:type="dxa"/>
          </w:tcPr>
          <w:p w14:paraId="625E81EA" w14:textId="1DD8AFE3" w:rsidR="00BC4D3F" w:rsidRPr="009029C5" w:rsidRDefault="007F41BE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Дата/</w:t>
            </w:r>
            <w:r w:rsidR="00BC4D3F" w:rsidRPr="009029C5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9029C5" w:rsidRPr="009029C5" w14:paraId="4BCBD9C2" w14:textId="77777777" w:rsidTr="00BC4D3F">
        <w:tc>
          <w:tcPr>
            <w:tcW w:w="1129" w:type="dxa"/>
          </w:tcPr>
          <w:p w14:paraId="5D36CE29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8FE1D9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CD80B57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737C35A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14E16C2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029C5" w:rsidRPr="009029C5" w14:paraId="4849D805" w14:textId="77777777" w:rsidTr="00BC4D3F">
        <w:tc>
          <w:tcPr>
            <w:tcW w:w="1129" w:type="dxa"/>
          </w:tcPr>
          <w:p w14:paraId="666DB3AD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92E9A3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419DA5F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EDB4547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CFD9BAC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C4D3F" w:rsidRPr="009029C5" w14:paraId="41686751" w14:textId="77777777" w:rsidTr="00BC4D3F">
        <w:tc>
          <w:tcPr>
            <w:tcW w:w="1129" w:type="dxa"/>
          </w:tcPr>
          <w:p w14:paraId="53F11D0B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F4180B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64B512A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27572B4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EBE30F1" w14:textId="77777777" w:rsidR="00BC4D3F" w:rsidRPr="009029C5" w:rsidRDefault="00BC4D3F" w:rsidP="003C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D505921" w14:textId="77777777" w:rsidR="00991DF5" w:rsidRPr="009029C5" w:rsidRDefault="00991DF5">
      <w:pPr>
        <w:jc w:val="both"/>
        <w:rPr>
          <w:color w:val="000000" w:themeColor="text1"/>
          <w:sz w:val="20"/>
          <w:szCs w:val="20"/>
        </w:rPr>
      </w:pPr>
    </w:p>
    <w:sectPr w:rsidR="00991DF5" w:rsidRPr="009029C5" w:rsidSect="001541AA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C95A7" w14:textId="77777777" w:rsidR="00FB6FB8" w:rsidRDefault="00FB6FB8" w:rsidP="00991DF5">
      <w:pPr>
        <w:spacing w:after="0" w:line="240" w:lineRule="auto"/>
      </w:pPr>
      <w:r>
        <w:separator/>
      </w:r>
    </w:p>
  </w:endnote>
  <w:endnote w:type="continuationSeparator" w:id="0">
    <w:p w14:paraId="0BCF3CEE" w14:textId="77777777" w:rsidR="00FB6FB8" w:rsidRDefault="00FB6FB8" w:rsidP="0099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D52BC" w14:textId="77777777" w:rsidR="00FB6FB8" w:rsidRDefault="00FB6FB8" w:rsidP="00991DF5">
      <w:pPr>
        <w:spacing w:after="0" w:line="240" w:lineRule="auto"/>
      </w:pPr>
      <w:r>
        <w:separator/>
      </w:r>
    </w:p>
  </w:footnote>
  <w:footnote w:type="continuationSeparator" w:id="0">
    <w:p w14:paraId="39677E22" w14:textId="77777777" w:rsidR="00FB6FB8" w:rsidRDefault="00FB6FB8" w:rsidP="00991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68"/>
    <w:rsid w:val="000677B4"/>
    <w:rsid w:val="000A7ECF"/>
    <w:rsid w:val="000B6D28"/>
    <w:rsid w:val="001541AA"/>
    <w:rsid w:val="0022115B"/>
    <w:rsid w:val="00306530"/>
    <w:rsid w:val="003C354E"/>
    <w:rsid w:val="003D7EEE"/>
    <w:rsid w:val="00407EAD"/>
    <w:rsid w:val="00494983"/>
    <w:rsid w:val="004F2068"/>
    <w:rsid w:val="00521CD2"/>
    <w:rsid w:val="0069141D"/>
    <w:rsid w:val="006D7296"/>
    <w:rsid w:val="00725CB7"/>
    <w:rsid w:val="007C3049"/>
    <w:rsid w:val="007F41BE"/>
    <w:rsid w:val="008A098D"/>
    <w:rsid w:val="008F4616"/>
    <w:rsid w:val="008F5316"/>
    <w:rsid w:val="009029C5"/>
    <w:rsid w:val="009174AF"/>
    <w:rsid w:val="00991DF5"/>
    <w:rsid w:val="00B11BBD"/>
    <w:rsid w:val="00B57A1A"/>
    <w:rsid w:val="00B644B6"/>
    <w:rsid w:val="00BA7E1B"/>
    <w:rsid w:val="00BC4D3F"/>
    <w:rsid w:val="00C226F4"/>
    <w:rsid w:val="00C22745"/>
    <w:rsid w:val="00C30176"/>
    <w:rsid w:val="00C9150A"/>
    <w:rsid w:val="00E17894"/>
    <w:rsid w:val="00E623DF"/>
    <w:rsid w:val="00E7061A"/>
    <w:rsid w:val="00E8167B"/>
    <w:rsid w:val="00EC1285"/>
    <w:rsid w:val="00FB07B2"/>
    <w:rsid w:val="00FB6FB8"/>
    <w:rsid w:val="00FC3243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0C5"/>
  <w15:chartTrackingRefBased/>
  <w15:docId w15:val="{454EBDCA-B740-48BA-BDD4-457DAA55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C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3049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991DF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91DF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1DF5"/>
    <w:rPr>
      <w:vertAlign w:val="superscript"/>
    </w:rPr>
  </w:style>
  <w:style w:type="table" w:styleId="a7">
    <w:name w:val="Table Grid"/>
    <w:basedOn w:val="a1"/>
    <w:uiPriority w:val="39"/>
    <w:rsid w:val="00BC4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6550-8256-467C-96D4-874CEC2D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Пользователь Windows</cp:lastModifiedBy>
  <cp:revision>14</cp:revision>
  <dcterms:created xsi:type="dcterms:W3CDTF">2020-07-30T05:10:00Z</dcterms:created>
  <dcterms:modified xsi:type="dcterms:W3CDTF">2020-07-31T09:23:00Z</dcterms:modified>
</cp:coreProperties>
</file>